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0F" w:rsidRDefault="007B3375">
      <w:pPr>
        <w:ind w:firstLine="284"/>
        <w:jc w:val="left"/>
      </w:pPr>
      <w:bookmarkStart w:id="0" w:name="_GoBack"/>
      <w:bookmarkEnd w:id="0"/>
      <w:r>
        <w:t xml:space="preserve">These provisions related waiver authority of generalized system of preferences. </w:t>
      </w:r>
    </w:p>
    <w:p w:rsidR="006B170F" w:rsidRDefault="006B170F">
      <w:pPr>
        <w:jc w:val="left"/>
      </w:pPr>
    </w:p>
    <w:p w:rsidR="006B170F" w:rsidRDefault="007B3375">
      <w:pPr>
        <w:jc w:val="center"/>
        <w:rPr>
          <w:sz w:val="24"/>
        </w:rPr>
      </w:pPr>
      <w:r>
        <w:rPr>
          <w:sz w:val="24"/>
        </w:rPr>
        <w:t>the Miscellaneous Trade and Technical Corrections Act of 1996</w:t>
      </w:r>
    </w:p>
    <w:p w:rsidR="006B170F" w:rsidRDefault="007B3375">
      <w:r>
        <w:t>(110 STAT. 3514)</w:t>
      </w:r>
    </w:p>
    <w:p w:rsidR="006B170F" w:rsidRDefault="006B170F"/>
    <w:p w:rsidR="006B170F" w:rsidRDefault="007B3375">
      <w:r>
        <w:t>SEC. 59. SPECIAL RULE FOR GENERALIZED SYSTEM OF PREFERENCES.</w:t>
      </w:r>
    </w:p>
    <w:p w:rsidR="006B170F" w:rsidRDefault="007B3375">
      <w:pPr>
        <w:ind w:firstLine="284"/>
      </w:pPr>
      <w:r>
        <w:t>The President is authorized to grant waivers under subsections (c)(2)(F) and (d)(1) of section 503 of the Trade Act of 1974 for those products that exceeded the limitations for 1994 under section 504(c)(1) of the Trade Act of 1974, as in effect on June 30, 1995, and lost eligibility for duty-free treatment under title V of that Act as of July 1, 1995. In granting such waivers, the President shall apply the provisions of subsections (c)(3) and (d)(2) of section 504 of the Trade Act of 1974, as in effect on July 31, 1995, and the references to “preceding calendar year” in such section 504 shall be references to 1994.</w:t>
      </w:r>
    </w:p>
    <w:p w:rsidR="007B3375" w:rsidRDefault="007B3375"/>
    <w:sectPr w:rsidR="007B3375">
      <w:footerReference w:type="default" r:id="rId7"/>
      <w:pgSz w:w="11907" w:h="16840"/>
      <w:pgMar w:top="1417" w:right="2016" w:bottom="1960" w:left="1814" w:header="840" w:footer="980"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9F6" w:rsidRDefault="00C069F6">
      <w:pPr>
        <w:spacing w:line="240" w:lineRule="auto"/>
      </w:pPr>
      <w:r>
        <w:separator/>
      </w:r>
    </w:p>
  </w:endnote>
  <w:endnote w:type="continuationSeparator" w:id="0">
    <w:p w:rsidR="00C069F6" w:rsidRDefault="00C069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70F" w:rsidRDefault="007B3375">
    <w:pPr>
      <w:pStyle w:val="a6"/>
      <w:tabs>
        <w:tab w:val="clear" w:pos="4252"/>
        <w:tab w:val="clear" w:pos="8504"/>
        <w:tab w:val="center" w:pos="4093"/>
        <w:tab w:val="right" w:pos="8105"/>
      </w:tabs>
    </w:pPr>
    <w:r>
      <w:tab/>
    </w:r>
    <w:r>
      <w:fldChar w:fldCharType="begin"/>
    </w:r>
    <w:r>
      <w:instrText xml:space="preserve"> PAGE </w:instrText>
    </w:r>
    <w:r>
      <w:fldChar w:fldCharType="separate"/>
    </w:r>
    <w:r w:rsidR="001801D8">
      <w:rPr>
        <w:noProof/>
      </w:rPr>
      <w:t>1</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9F6" w:rsidRDefault="00C069F6">
      <w:pPr>
        <w:spacing w:line="240" w:lineRule="auto"/>
      </w:pPr>
      <w:r>
        <w:separator/>
      </w:r>
    </w:p>
  </w:footnote>
  <w:footnote w:type="continuationSeparator" w:id="0">
    <w:p w:rsidR="00C069F6" w:rsidRDefault="00C069F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doNotTrackMoves/>
  <w:defaultTabStop w:val="806"/>
  <w:drawingGridHorizontalSpacing w:val="101"/>
  <w:drawingGridVerticalSpacing w:val="168"/>
  <w:displayHorizontalDrawingGridEvery w:val="2"/>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35.6 mm,5.5 pt"/>
    <w:docVar w:name="AutoMarginAdjustment3" w:val="82.45 pt,-2.59 pt"/>
    <w:docVar w:name="CharSpaceMode" w:val=" 0"/>
    <w:docVar w:name="HeaderDateTimeMode" w:val=" 0"/>
    <w:docVar w:name="HeaderDateTimeOpt" w:val=" 0"/>
    <w:docVar w:name="HeaderDocInfoMode" w:val=" 0"/>
    <w:docVar w:name="HeaderDocInfoOpt" w:val=" 0"/>
    <w:docVar w:name="HeaderPageNumberMode" w:val=" 21"/>
    <w:docVar w:name="OverlayMode" w:val=" 0"/>
    <w:docVar w:name="PageNUp" w:val=" 1"/>
  </w:docVars>
  <w:rsids>
    <w:rsidRoot w:val="00DB7ED4"/>
    <w:rsid w:val="001801D8"/>
    <w:rsid w:val="006B170F"/>
    <w:rsid w:val="007B3375"/>
    <w:rsid w:val="00C069F6"/>
    <w:rsid w:val="00DB7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36" w:lineRule="exact"/>
      <w:jc w:val="both"/>
      <w:textAlignment w:val="baseline"/>
    </w:pPr>
    <w:rPr>
      <w:spacing w:val="-4"/>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jc w:val="left"/>
    </w:pPr>
  </w:style>
  <w:style w:type="character" w:styleId="a4">
    <w:name w:val="footnote reference"/>
    <w:semiHidden/>
    <w:rPr>
      <w:vertAlign w:val="superscript"/>
    </w:rPr>
  </w:style>
  <w:style w:type="paragraph" w:styleId="a5">
    <w:name w:val="header"/>
    <w:basedOn w:val="a"/>
    <w:semiHidden/>
    <w:pPr>
      <w:tabs>
        <w:tab w:val="center" w:pos="4252"/>
        <w:tab w:val="right" w:pos="8504"/>
      </w:tabs>
      <w:spacing w:line="360" w:lineRule="auto"/>
    </w:pPr>
    <w:rPr>
      <w:spacing w:val="0"/>
      <w:sz w:val="18"/>
    </w:rPr>
  </w:style>
  <w:style w:type="paragraph" w:styleId="a6">
    <w:name w:val="footer"/>
    <w:basedOn w:val="a"/>
    <w:semiHidden/>
    <w:pPr>
      <w:tabs>
        <w:tab w:val="center" w:pos="4252"/>
        <w:tab w:val="right" w:pos="8504"/>
      </w:tabs>
      <w:spacing w:line="360" w:lineRule="auto"/>
    </w:pPr>
    <w:rPr>
      <w:spacing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These Provisions are enacted as part of Chapter 12－Trade Act of 1974, Title 19－Customs Duties, Untied Sates Code, but not as part of the Trade Act of 1974.</vt:lpstr>
    </vt:vector>
  </TitlesOfParts>
  <Company>西日本鉄道株式会社</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Provisions are enacted as part of Chapter 12－Trade Act of 1974, Title 19－Customs Duties, Untied Sates Code, but not as part of the Trade Act of 1974.</dc:title>
  <dc:creator>関税協力係</dc:creator>
  <cp:lastModifiedBy>国際物流事業本部</cp:lastModifiedBy>
  <cp:revision>2</cp:revision>
  <cp:lastPrinted>1900-12-31T15:00:00Z</cp:lastPrinted>
  <dcterms:created xsi:type="dcterms:W3CDTF">2019-08-23T05:11:00Z</dcterms:created>
  <dcterms:modified xsi:type="dcterms:W3CDTF">2019-08-23T05:11:00Z</dcterms:modified>
</cp:coreProperties>
</file>